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11"/>
        <w:tblW w:w="10087" w:type="dxa"/>
        <w:tblInd w:w="-34" w:type="dxa"/>
        <w:tblLayout w:type="fixed"/>
        <w:tblLook w:val="04A0"/>
      </w:tblPr>
      <w:tblGrid>
        <w:gridCol w:w="993"/>
        <w:gridCol w:w="2013"/>
        <w:gridCol w:w="1276"/>
        <w:gridCol w:w="992"/>
        <w:gridCol w:w="992"/>
        <w:gridCol w:w="1276"/>
        <w:gridCol w:w="992"/>
        <w:gridCol w:w="851"/>
        <w:gridCol w:w="702"/>
      </w:tblGrid>
      <w:tr w:rsidR="008F27AD" w:rsidRPr="00B6104A" w:rsidTr="00CB72D1">
        <w:trPr>
          <w:cnfStyle w:val="100000000000"/>
        </w:trPr>
        <w:tc>
          <w:tcPr>
            <w:cnfStyle w:val="001000000000"/>
            <w:tcW w:w="993" w:type="dxa"/>
            <w:vMerge w:val="restart"/>
          </w:tcPr>
          <w:p w:rsidR="008F27AD" w:rsidRPr="00B6104A" w:rsidRDefault="008F27AD" w:rsidP="00CB72D1">
            <w:pPr>
              <w:rPr>
                <w:color w:val="auto"/>
              </w:rPr>
            </w:pPr>
          </w:p>
        </w:tc>
        <w:tc>
          <w:tcPr>
            <w:tcW w:w="2013" w:type="dxa"/>
            <w:vMerge w:val="restart"/>
          </w:tcPr>
          <w:p w:rsidR="008F27AD" w:rsidRPr="00B6104A" w:rsidRDefault="008F27AD" w:rsidP="00CB72D1">
            <w:pPr>
              <w:cnfStyle w:val="100000000000"/>
              <w:rPr>
                <w:color w:val="auto"/>
              </w:rPr>
            </w:pPr>
            <w:r w:rsidRPr="00B6104A">
              <w:rPr>
                <w:color w:val="auto"/>
              </w:rPr>
              <w:t xml:space="preserve">Государственные организации в сфере социального обслуживания </w:t>
            </w:r>
            <w:r>
              <w:rPr>
                <w:color w:val="auto"/>
              </w:rPr>
              <w:t>Калининградской области</w:t>
            </w:r>
          </w:p>
          <w:p w:rsidR="008F27AD" w:rsidRPr="00B6104A" w:rsidRDefault="008F27AD" w:rsidP="00CB72D1">
            <w:pPr>
              <w:cnfStyle w:val="100000000000"/>
              <w:rPr>
                <w:color w:val="auto"/>
              </w:rPr>
            </w:pPr>
          </w:p>
        </w:tc>
        <w:tc>
          <w:tcPr>
            <w:tcW w:w="6379" w:type="dxa"/>
            <w:gridSpan w:val="6"/>
            <w:hideMark/>
          </w:tcPr>
          <w:p w:rsidR="008F27AD" w:rsidRPr="00B6104A" w:rsidRDefault="008F27AD" w:rsidP="00CB72D1">
            <w:pPr>
              <w:cnfStyle w:val="100000000000"/>
              <w:rPr>
                <w:color w:val="auto"/>
              </w:rPr>
            </w:pPr>
            <w:r w:rsidRPr="00B6104A">
              <w:rPr>
                <w:color w:val="auto"/>
              </w:rPr>
              <w:t>Рейтинг по группе показателей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100000000000"/>
            </w:pPr>
          </w:p>
        </w:tc>
      </w:tr>
      <w:tr w:rsidR="008F27AD" w:rsidRPr="00B6104A" w:rsidTr="00CB72D1">
        <w:trPr>
          <w:cnfStyle w:val="000000100000"/>
          <w:cantSplit/>
          <w:trHeight w:val="2897"/>
        </w:trPr>
        <w:tc>
          <w:tcPr>
            <w:cnfStyle w:val="001000000000"/>
            <w:tcW w:w="993" w:type="dxa"/>
            <w:vMerge/>
            <w:hideMark/>
          </w:tcPr>
          <w:p w:rsidR="008F27AD" w:rsidRPr="00B6104A" w:rsidRDefault="008F27AD" w:rsidP="00CB72D1"/>
        </w:tc>
        <w:tc>
          <w:tcPr>
            <w:tcW w:w="2013" w:type="dxa"/>
            <w:vMerge/>
            <w:hideMark/>
          </w:tcPr>
          <w:p w:rsidR="008F27AD" w:rsidRPr="00B6104A" w:rsidRDefault="008F27AD" w:rsidP="00CB72D1">
            <w:pPr>
              <w:cnfStyle w:val="000000100000"/>
            </w:pPr>
          </w:p>
        </w:tc>
        <w:tc>
          <w:tcPr>
            <w:tcW w:w="1276" w:type="dxa"/>
            <w:textDirection w:val="btLr"/>
            <w:hideMark/>
          </w:tcPr>
          <w:p w:rsidR="008F27AD" w:rsidRPr="00B6104A" w:rsidRDefault="008F27AD" w:rsidP="00CB72D1">
            <w:pPr>
              <w:ind w:left="113" w:right="113"/>
              <w:cnfStyle w:val="000000100000"/>
            </w:pPr>
            <w:r w:rsidRPr="00B6104A">
              <w:t xml:space="preserve">открытость и доступность информации об организации </w:t>
            </w:r>
          </w:p>
        </w:tc>
        <w:tc>
          <w:tcPr>
            <w:tcW w:w="992" w:type="dxa"/>
            <w:textDirection w:val="btLr"/>
            <w:hideMark/>
          </w:tcPr>
          <w:p w:rsidR="008F27AD" w:rsidRPr="00B6104A" w:rsidRDefault="008F27AD" w:rsidP="00CB72D1">
            <w:pPr>
              <w:ind w:left="113" w:right="113"/>
              <w:cnfStyle w:val="000000100000"/>
            </w:pPr>
            <w:r w:rsidRPr="00B6104A">
              <w:t>комфортность условий предоставления услуг</w:t>
            </w:r>
          </w:p>
        </w:tc>
        <w:tc>
          <w:tcPr>
            <w:tcW w:w="992" w:type="dxa"/>
            <w:textDirection w:val="btLr"/>
            <w:hideMark/>
          </w:tcPr>
          <w:p w:rsidR="008F27AD" w:rsidRPr="00B6104A" w:rsidRDefault="008F27AD" w:rsidP="00CB72D1">
            <w:pPr>
              <w:ind w:left="113" w:right="113"/>
              <w:cnfStyle w:val="000000100000"/>
            </w:pPr>
            <w:r w:rsidRPr="00B6104A">
              <w:t>доступность услуг для инвалидов</w:t>
            </w:r>
          </w:p>
        </w:tc>
        <w:tc>
          <w:tcPr>
            <w:tcW w:w="1276" w:type="dxa"/>
            <w:textDirection w:val="btLr"/>
            <w:hideMark/>
          </w:tcPr>
          <w:p w:rsidR="008F27AD" w:rsidRPr="00B6104A" w:rsidRDefault="008F27AD" w:rsidP="00CB72D1">
            <w:pPr>
              <w:ind w:left="113" w:right="113"/>
              <w:cnfStyle w:val="000000100000"/>
            </w:pPr>
            <w:r w:rsidRPr="00B6104A">
              <w:t xml:space="preserve">доброжелательность, вежливость работников организаций </w:t>
            </w:r>
          </w:p>
        </w:tc>
        <w:tc>
          <w:tcPr>
            <w:tcW w:w="992" w:type="dxa"/>
            <w:textDirection w:val="btLr"/>
            <w:hideMark/>
          </w:tcPr>
          <w:p w:rsidR="008F27AD" w:rsidRPr="00B6104A" w:rsidRDefault="008F27AD" w:rsidP="00CB72D1">
            <w:pPr>
              <w:ind w:left="113" w:right="113"/>
              <w:cnfStyle w:val="000000100000"/>
            </w:pPr>
            <w:r w:rsidRPr="00B6104A">
              <w:t>удовлетворенность условиями оказания услуг</w:t>
            </w:r>
          </w:p>
        </w:tc>
        <w:tc>
          <w:tcPr>
            <w:tcW w:w="851" w:type="dxa"/>
            <w:textDirection w:val="btLr"/>
            <w:hideMark/>
          </w:tcPr>
          <w:p w:rsidR="008F27AD" w:rsidRPr="00B6104A" w:rsidRDefault="008F27AD" w:rsidP="00CB72D1">
            <w:pPr>
              <w:ind w:left="113" w:right="113"/>
              <w:cnfStyle w:val="000000100000"/>
            </w:pPr>
            <w:r w:rsidRPr="00B6104A">
              <w:t>Всего</w:t>
            </w:r>
          </w:p>
        </w:tc>
        <w:tc>
          <w:tcPr>
            <w:tcW w:w="702" w:type="dxa"/>
            <w:textDirection w:val="btLr"/>
          </w:tcPr>
          <w:p w:rsidR="008F27AD" w:rsidRPr="00B6104A" w:rsidRDefault="008F27AD" w:rsidP="00CB72D1">
            <w:pPr>
              <w:ind w:left="113" w:right="113"/>
              <w:cnfStyle w:val="000000100000"/>
            </w:pPr>
            <w:r w:rsidRPr="00B6104A">
              <w:t>Место</w:t>
            </w:r>
          </w:p>
        </w:tc>
      </w:tr>
      <w:tr w:rsidR="008F27AD" w:rsidRPr="00B6104A" w:rsidTr="00CB72D1">
        <w:trPr>
          <w:trHeight w:val="968"/>
        </w:trPr>
        <w:tc>
          <w:tcPr>
            <w:cnfStyle w:val="001000000000"/>
            <w:tcW w:w="993" w:type="dxa"/>
          </w:tcPr>
          <w:p w:rsidR="008F27AD" w:rsidRPr="00B6104A" w:rsidRDefault="008F27AD" w:rsidP="00CB72D1"/>
        </w:tc>
        <w:tc>
          <w:tcPr>
            <w:tcW w:w="2013" w:type="dxa"/>
            <w:hideMark/>
          </w:tcPr>
          <w:p w:rsidR="008F27AD" w:rsidRPr="00B6104A" w:rsidRDefault="008F27AD" w:rsidP="00CB72D1">
            <w:pPr>
              <w:cnfStyle w:val="000000000000"/>
            </w:pPr>
            <w:r w:rsidRPr="00B6104A">
              <w:t>Нормативные значения</w:t>
            </w:r>
          </w:p>
        </w:tc>
        <w:tc>
          <w:tcPr>
            <w:tcW w:w="1276" w:type="dxa"/>
            <w:hideMark/>
          </w:tcPr>
          <w:p w:rsidR="008F27AD" w:rsidRPr="00B6104A" w:rsidRDefault="008F27AD" w:rsidP="00CB72D1">
            <w:pPr>
              <w:cnfStyle w:val="000000000000"/>
            </w:pPr>
            <w:r w:rsidRPr="00B6104A">
              <w:t>100</w:t>
            </w:r>
          </w:p>
        </w:tc>
        <w:tc>
          <w:tcPr>
            <w:tcW w:w="992" w:type="dxa"/>
            <w:hideMark/>
          </w:tcPr>
          <w:p w:rsidR="008F27AD" w:rsidRPr="00B6104A" w:rsidRDefault="008F27AD" w:rsidP="00CB72D1">
            <w:pPr>
              <w:cnfStyle w:val="000000000000"/>
            </w:pPr>
            <w:r w:rsidRPr="00B6104A">
              <w:t>100</w:t>
            </w:r>
          </w:p>
        </w:tc>
        <w:tc>
          <w:tcPr>
            <w:tcW w:w="992" w:type="dxa"/>
            <w:hideMark/>
          </w:tcPr>
          <w:p w:rsidR="008F27AD" w:rsidRPr="00B6104A" w:rsidRDefault="008F27AD" w:rsidP="00CB72D1">
            <w:pPr>
              <w:cnfStyle w:val="000000000000"/>
            </w:pPr>
            <w:r w:rsidRPr="00B6104A">
              <w:t>100</w:t>
            </w:r>
          </w:p>
        </w:tc>
        <w:tc>
          <w:tcPr>
            <w:tcW w:w="1276" w:type="dxa"/>
            <w:hideMark/>
          </w:tcPr>
          <w:p w:rsidR="008F27AD" w:rsidRPr="00B6104A" w:rsidRDefault="008F27AD" w:rsidP="00CB72D1">
            <w:pPr>
              <w:cnfStyle w:val="000000000000"/>
            </w:pPr>
            <w:r w:rsidRPr="00B6104A">
              <w:t>100</w:t>
            </w:r>
          </w:p>
        </w:tc>
        <w:tc>
          <w:tcPr>
            <w:tcW w:w="992" w:type="dxa"/>
            <w:hideMark/>
          </w:tcPr>
          <w:p w:rsidR="008F27AD" w:rsidRPr="00B6104A" w:rsidRDefault="008F27AD" w:rsidP="00CB72D1">
            <w:pPr>
              <w:cnfStyle w:val="000000000000"/>
            </w:pPr>
            <w:r w:rsidRPr="00B6104A">
              <w:t>100</w:t>
            </w:r>
          </w:p>
        </w:tc>
        <w:tc>
          <w:tcPr>
            <w:tcW w:w="851" w:type="dxa"/>
            <w:hideMark/>
          </w:tcPr>
          <w:p w:rsidR="008F27AD" w:rsidRPr="00B6104A" w:rsidRDefault="008F27AD" w:rsidP="00CB72D1">
            <w:pPr>
              <w:cnfStyle w:val="000000000000"/>
            </w:pPr>
            <w:r w:rsidRPr="00B6104A">
              <w:t>100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</w:p>
        </w:tc>
      </w:tr>
      <w:tr w:rsidR="008F27AD" w:rsidRPr="00B6104A" w:rsidTr="00CB72D1">
        <w:trPr>
          <w:cnfStyle w:val="000000100000"/>
          <w:trHeight w:val="968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«Дом социального ухода «Старшее поколение»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t>1</w:t>
            </w:r>
          </w:p>
        </w:tc>
      </w:tr>
      <w:tr w:rsidR="008F27AD" w:rsidRPr="00B6104A" w:rsidTr="00CB72D1">
        <w:trPr>
          <w:trHeight w:val="968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B6104A">
              <w:rPr>
                <w:color w:val="000000"/>
              </w:rPr>
              <w:t>Светлогорский</w:t>
            </w:r>
            <w:proofErr w:type="spellEnd"/>
            <w:r w:rsidRPr="00B6104A">
              <w:rPr>
                <w:color w:val="000000"/>
              </w:rPr>
              <w:t xml:space="preserve"> социально-оздоровительный центр «Мечта»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</w:p>
        </w:tc>
      </w:tr>
      <w:tr w:rsidR="008F27AD" w:rsidRPr="00B6104A" w:rsidTr="00CB72D1">
        <w:trPr>
          <w:cnfStyle w:val="000000100000"/>
          <w:trHeight w:val="968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t>1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 xml:space="preserve">Государственное бюджетное </w:t>
            </w:r>
            <w:r w:rsidRPr="00B6104A">
              <w:rPr>
                <w:color w:val="000000"/>
              </w:rPr>
              <w:lastRenderedPageBreak/>
              <w:t>стационарное учреждение социального обслуживания Калининградской области «Социальный центр «Два поколения»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lastRenderedPageBreak/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«Социальный центр «Тёплый дом»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t>1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99,1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97,6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99,34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2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МАУСО города Калининграда «Комплексный центр социального обслуживания населения в городе Калининграде»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99,6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98,5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99,22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3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95,5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99,1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4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 «Комплексный центр социального обслуживания населения Правдинского городского округа 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94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98,8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5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 xml:space="preserve">МБУ «Комплексный центр социального обслуживания населения </w:t>
            </w:r>
            <w:proofErr w:type="gramStart"/>
            <w:r w:rsidRPr="00B6104A">
              <w:rPr>
                <w:color w:val="000000"/>
              </w:rPr>
              <w:t>в</w:t>
            </w:r>
            <w:proofErr w:type="gramEnd"/>
            <w:r w:rsidRPr="00B6104A">
              <w:rPr>
                <w:color w:val="000000"/>
              </w:rPr>
              <w:t xml:space="preserve"> </w:t>
            </w:r>
            <w:proofErr w:type="gramStart"/>
            <w:r w:rsidRPr="00B6104A">
              <w:rPr>
                <w:color w:val="000000"/>
              </w:rPr>
              <w:t>Зеленоградском</w:t>
            </w:r>
            <w:proofErr w:type="gramEnd"/>
            <w:r w:rsidRPr="00B6104A">
              <w:rPr>
                <w:color w:val="000000"/>
              </w:rPr>
              <w:t xml:space="preserve"> городском округе»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92,5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98,5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6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МБУСО «</w:t>
            </w:r>
            <w:proofErr w:type="spellStart"/>
            <w:r w:rsidRPr="00B6104A">
              <w:rPr>
                <w:color w:val="000000"/>
              </w:rPr>
              <w:t>Нестеровский</w:t>
            </w:r>
            <w:proofErr w:type="spellEnd"/>
            <w:r w:rsidRPr="00B6104A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92,5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98,5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6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 xml:space="preserve">БУСО «Комплексный центр в </w:t>
            </w:r>
            <w:proofErr w:type="gramStart"/>
            <w:r w:rsidRPr="00B6104A">
              <w:rPr>
                <w:color w:val="000000"/>
              </w:rPr>
              <w:t>Янтарном</w:t>
            </w:r>
            <w:proofErr w:type="gramEnd"/>
            <w:r w:rsidRPr="00B6104A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92,5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98,5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6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«Дом социального ухода «Солнечный ветер»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99,2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98,2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98,48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7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91,3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98,26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8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МБУСО «Центр социального обслуживания пожилых людей и инвалидов «Гармония»»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91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98,2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9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245A58" w:rsidRDefault="008F27AD" w:rsidP="00CB72D1">
            <w:pPr>
              <w:cnfStyle w:val="000000100000"/>
            </w:pPr>
            <w:r w:rsidRPr="00245A58">
              <w:rPr>
                <w:color w:val="000000"/>
              </w:rPr>
              <w:t xml:space="preserve">МБУ «Комплексный центр социального обслуживания в </w:t>
            </w:r>
            <w:proofErr w:type="spellStart"/>
            <w:r w:rsidRPr="00245A58">
              <w:rPr>
                <w:color w:val="000000"/>
              </w:rPr>
              <w:t>Гусевском</w:t>
            </w:r>
            <w:proofErr w:type="spellEnd"/>
            <w:r w:rsidRPr="00245A58">
              <w:rPr>
                <w:color w:val="000000"/>
              </w:rPr>
              <w:t xml:space="preserve"> городском округе»</w:t>
            </w:r>
          </w:p>
        </w:tc>
        <w:tc>
          <w:tcPr>
            <w:tcW w:w="1276" w:type="dxa"/>
          </w:tcPr>
          <w:p w:rsidR="008F27AD" w:rsidRPr="00245A58" w:rsidRDefault="008F27AD" w:rsidP="00CB72D1">
            <w:pPr>
              <w:cnfStyle w:val="000000100000"/>
            </w:pPr>
            <w:r w:rsidRPr="00245A58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90,2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98,04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10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245A58" w:rsidRDefault="008F27AD" w:rsidP="00CB72D1">
            <w:pPr>
              <w:cnfStyle w:val="000000000000"/>
            </w:pPr>
            <w:r w:rsidRPr="00245A58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«Дом социального ухода «Дубрава»</w:t>
            </w:r>
          </w:p>
        </w:tc>
        <w:tc>
          <w:tcPr>
            <w:tcW w:w="1276" w:type="dxa"/>
          </w:tcPr>
          <w:p w:rsidR="008F27AD" w:rsidRPr="00245A58" w:rsidRDefault="008F27AD" w:rsidP="00CB72D1">
            <w:pPr>
              <w:cnfStyle w:val="000000000000"/>
            </w:pPr>
            <w:r w:rsidRPr="00245A58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90,1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98,02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11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245A58" w:rsidRDefault="008F27AD" w:rsidP="00CB72D1">
            <w:pPr>
              <w:cnfStyle w:val="000000100000"/>
            </w:pPr>
            <w:r w:rsidRPr="00245A58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«Дом социального ухода «Яблоневый сад»</w:t>
            </w:r>
          </w:p>
        </w:tc>
        <w:tc>
          <w:tcPr>
            <w:tcW w:w="1276" w:type="dxa"/>
          </w:tcPr>
          <w:p w:rsidR="008F27AD" w:rsidRPr="00FA7BCB" w:rsidRDefault="008F27AD" w:rsidP="00CB72D1">
            <w:pPr>
              <w:cnfStyle w:val="000000100000"/>
            </w:pPr>
            <w:r w:rsidRPr="00FA7BCB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FA7BCB" w:rsidRDefault="008F27AD" w:rsidP="00CB72D1">
            <w:pPr>
              <w:cnfStyle w:val="000000100000"/>
            </w:pPr>
            <w:r w:rsidRPr="00FA7BCB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FA7BCB" w:rsidRDefault="008F27AD" w:rsidP="00CB72D1">
            <w:pPr>
              <w:cnfStyle w:val="000000100000"/>
            </w:pPr>
            <w:r w:rsidRPr="00FA7BCB">
              <w:rPr>
                <w:color w:val="000000"/>
              </w:rPr>
              <w:t>89,9</w:t>
            </w:r>
          </w:p>
        </w:tc>
        <w:tc>
          <w:tcPr>
            <w:tcW w:w="1276" w:type="dxa"/>
          </w:tcPr>
          <w:p w:rsidR="008F27AD" w:rsidRPr="00FA7BCB" w:rsidRDefault="008F27AD" w:rsidP="00CB72D1">
            <w:pPr>
              <w:cnfStyle w:val="000000100000"/>
            </w:pPr>
            <w:r w:rsidRPr="00FA7BCB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FA7BCB" w:rsidRDefault="008F27AD" w:rsidP="00CB72D1">
            <w:pPr>
              <w:cnfStyle w:val="000000100000"/>
            </w:pPr>
            <w:r w:rsidRPr="00FA7BCB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FA7BCB" w:rsidRDefault="008F27AD" w:rsidP="00CB72D1">
            <w:pPr>
              <w:cnfStyle w:val="000000100000"/>
            </w:pPr>
            <w:r w:rsidRPr="00FA7BCB">
              <w:rPr>
                <w:color w:val="000000"/>
              </w:rPr>
              <w:t>97,98</w:t>
            </w:r>
          </w:p>
        </w:tc>
        <w:tc>
          <w:tcPr>
            <w:tcW w:w="702" w:type="dxa"/>
          </w:tcPr>
          <w:p w:rsidR="008F27AD" w:rsidRPr="00FA7BCB" w:rsidRDefault="008F27AD" w:rsidP="00CB72D1">
            <w:pPr>
              <w:cnfStyle w:val="000000100000"/>
            </w:pPr>
            <w:r w:rsidRPr="00FA7BCB">
              <w:t>12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«Дом социального ухода «Веста»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89,3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97,86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  <w:r>
              <w:t>3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МБУ «</w:t>
            </w:r>
            <w:proofErr w:type="spellStart"/>
            <w:r w:rsidRPr="00B6104A">
              <w:rPr>
                <w:color w:val="000000"/>
              </w:rPr>
              <w:t>Гурьевский</w:t>
            </w:r>
            <w:proofErr w:type="spellEnd"/>
            <w:r w:rsidRPr="00B6104A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89,3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97,86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t>1</w:t>
            </w:r>
            <w:r>
              <w:t>3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 xml:space="preserve">Государственное бюджетное стационарное учреждение социального обслуживания </w:t>
            </w:r>
            <w:r w:rsidRPr="00B6104A">
              <w:rPr>
                <w:color w:val="000000"/>
              </w:rPr>
              <w:lastRenderedPageBreak/>
              <w:t>Калининградской области «Дом социального ухода «Серебряный родник»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lastRenderedPageBreak/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89,6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99,2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99,4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97,64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  <w:r>
              <w:t>4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МБУ МО «Гвардейский городской округ» «Комплексный центр социального обслуживания населения в Гвардейском городском округе»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88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97,6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t>1</w:t>
            </w:r>
            <w:r>
              <w:t>5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86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97,2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  <w:r>
              <w:t>6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Государственное бюджетное стационарное учреждение социального обслуживания Калининградской области «</w:t>
            </w:r>
            <w:proofErr w:type="spellStart"/>
            <w:r w:rsidRPr="00B6104A">
              <w:rPr>
                <w:color w:val="000000"/>
              </w:rPr>
              <w:t>Долгоруковский</w:t>
            </w:r>
            <w:proofErr w:type="spellEnd"/>
            <w:r w:rsidRPr="00B6104A">
              <w:rPr>
                <w:color w:val="00000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97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t>1</w:t>
            </w:r>
            <w:r>
              <w:t>7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85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97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  <w:r>
              <w:t>7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 xml:space="preserve">МБУ «Комплексный центр социального обслуживания населения </w:t>
            </w:r>
            <w:proofErr w:type="gramStart"/>
            <w:r w:rsidRPr="00B6104A">
              <w:rPr>
                <w:color w:val="000000"/>
              </w:rPr>
              <w:t>в</w:t>
            </w:r>
            <w:proofErr w:type="gramEnd"/>
            <w:r w:rsidRPr="00B6104A">
              <w:rPr>
                <w:color w:val="000000"/>
              </w:rPr>
              <w:t xml:space="preserve"> </w:t>
            </w:r>
            <w:proofErr w:type="gramStart"/>
            <w:r w:rsidRPr="00B6104A">
              <w:rPr>
                <w:color w:val="000000"/>
              </w:rPr>
              <w:t>Светлогорском</w:t>
            </w:r>
            <w:proofErr w:type="gramEnd"/>
            <w:r w:rsidRPr="00B6104A">
              <w:rPr>
                <w:color w:val="000000"/>
              </w:rPr>
              <w:t xml:space="preserve"> районе»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84,5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96,9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t>1</w:t>
            </w:r>
            <w:r>
              <w:t>8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 xml:space="preserve">МБУ « Комплексный центр социального обслуживания населения в </w:t>
            </w:r>
            <w:r w:rsidRPr="00B6104A">
              <w:rPr>
                <w:color w:val="000000"/>
              </w:rPr>
              <w:lastRenderedPageBreak/>
              <w:t>Краснознаменском городском округе»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lastRenderedPageBreak/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82,1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96,42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t>1</w:t>
            </w:r>
            <w:r>
              <w:t>9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 xml:space="preserve">МБУСО «Центр социального обслуживания населения в </w:t>
            </w:r>
            <w:proofErr w:type="spellStart"/>
            <w:r w:rsidRPr="00B6104A">
              <w:rPr>
                <w:color w:val="000000"/>
              </w:rPr>
              <w:t>Мамоновском</w:t>
            </w:r>
            <w:proofErr w:type="spellEnd"/>
            <w:r w:rsidRPr="00B6104A">
              <w:rPr>
                <w:color w:val="000000"/>
              </w:rPr>
              <w:t xml:space="preserve"> городском округе»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80,9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96,18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20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79,9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95,98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21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 xml:space="preserve">МБУСО «Комплексный центр социального обслуживания в </w:t>
            </w:r>
            <w:proofErr w:type="spellStart"/>
            <w:r w:rsidRPr="00B6104A">
              <w:rPr>
                <w:color w:val="000000"/>
              </w:rPr>
              <w:t>Светловском</w:t>
            </w:r>
            <w:proofErr w:type="spellEnd"/>
            <w:r w:rsidRPr="00B6104A">
              <w:rPr>
                <w:color w:val="000000"/>
              </w:rPr>
              <w:t xml:space="preserve"> городском округе»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79,9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95,98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21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80,5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99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95,6</w:t>
            </w:r>
            <w:r>
              <w:rPr>
                <w:color w:val="000000"/>
              </w:rPr>
              <w:t>4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22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78,9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99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99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95,38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23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74,9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94,98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24</w:t>
            </w:r>
          </w:p>
        </w:tc>
      </w:tr>
      <w:tr w:rsidR="008F27AD" w:rsidRPr="00B6104A" w:rsidTr="00CB72D1">
        <w:trPr>
          <w:cnfStyle w:val="000000100000"/>
        </w:trPr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МБУ «</w:t>
            </w:r>
            <w:proofErr w:type="spellStart"/>
            <w:r w:rsidRPr="00B6104A">
              <w:rPr>
                <w:color w:val="000000"/>
              </w:rPr>
              <w:t>Полесский</w:t>
            </w:r>
            <w:proofErr w:type="spellEnd"/>
            <w:r w:rsidRPr="00B6104A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64,1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100000"/>
            </w:pPr>
            <w:r w:rsidRPr="00B6104A">
              <w:rPr>
                <w:color w:val="000000"/>
              </w:rPr>
              <w:t>92,82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100000"/>
            </w:pPr>
            <w:r>
              <w:t>25</w:t>
            </w:r>
          </w:p>
        </w:tc>
      </w:tr>
      <w:tr w:rsidR="008F27AD" w:rsidRPr="00B6104A" w:rsidTr="00CB72D1">
        <w:tc>
          <w:tcPr>
            <w:cnfStyle w:val="001000000000"/>
            <w:tcW w:w="993" w:type="dxa"/>
          </w:tcPr>
          <w:p w:rsidR="008F27AD" w:rsidRPr="00B6104A" w:rsidRDefault="008F27AD" w:rsidP="008F27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13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МБУ «</w:t>
            </w:r>
            <w:proofErr w:type="spellStart"/>
            <w:r w:rsidRPr="00B6104A">
              <w:rPr>
                <w:color w:val="000000"/>
              </w:rPr>
              <w:t>Багратионовский</w:t>
            </w:r>
            <w:proofErr w:type="spellEnd"/>
            <w:r w:rsidRPr="00B6104A">
              <w:rPr>
                <w:color w:val="00000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53,9</w:t>
            </w:r>
          </w:p>
        </w:tc>
        <w:tc>
          <w:tcPr>
            <w:tcW w:w="1276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992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8F27AD" w:rsidRPr="00B6104A" w:rsidRDefault="008F27AD" w:rsidP="00CB72D1">
            <w:pPr>
              <w:cnfStyle w:val="000000000000"/>
            </w:pPr>
            <w:r w:rsidRPr="00B6104A">
              <w:rPr>
                <w:color w:val="000000"/>
              </w:rPr>
              <w:t>90,78</w:t>
            </w:r>
          </w:p>
        </w:tc>
        <w:tc>
          <w:tcPr>
            <w:tcW w:w="702" w:type="dxa"/>
          </w:tcPr>
          <w:p w:rsidR="008F27AD" w:rsidRPr="00B6104A" w:rsidRDefault="008F27AD" w:rsidP="00CB72D1">
            <w:pPr>
              <w:cnfStyle w:val="000000000000"/>
            </w:pPr>
            <w:r>
              <w:t>26</w:t>
            </w:r>
          </w:p>
        </w:tc>
      </w:tr>
    </w:tbl>
    <w:p w:rsidR="008F27AD" w:rsidRPr="006F244A" w:rsidRDefault="008F27AD" w:rsidP="008F27AD">
      <w:pPr>
        <w:jc w:val="center"/>
        <w:rPr>
          <w:b/>
          <w:sz w:val="28"/>
          <w:szCs w:val="28"/>
        </w:rPr>
      </w:pPr>
    </w:p>
    <w:p w:rsidR="008F27AD" w:rsidRDefault="008F27AD" w:rsidP="008F27AD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5A45F4" w:rsidRPr="008F27AD" w:rsidRDefault="008F27AD" w:rsidP="008F27AD">
      <w:pPr>
        <w:ind w:firstLine="709"/>
        <w:jc w:val="center"/>
        <w:rPr>
          <w:rFonts w:eastAsia="Calibri"/>
          <w:b/>
          <w:sz w:val="28"/>
          <w:szCs w:val="28"/>
        </w:rPr>
      </w:pPr>
      <w:r w:rsidRPr="00413993">
        <w:rPr>
          <w:rFonts w:eastAsia="Calibri"/>
          <w:b/>
          <w:noProof/>
          <w:sz w:val="28"/>
          <w:szCs w:val="28"/>
          <w:highlight w:val="yellow"/>
        </w:rPr>
        <w:lastRenderedPageBreak/>
        <w:drawing>
          <wp:inline distT="0" distB="0" distL="0" distR="0">
            <wp:extent cx="6147881" cy="9299575"/>
            <wp:effectExtent l="0" t="0" r="1206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A45F4" w:rsidRPr="008F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1843"/>
    <w:multiLevelType w:val="hybridMultilevel"/>
    <w:tmpl w:val="3AD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F27AD"/>
    <w:rsid w:val="005A45F4"/>
    <w:rsid w:val="008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4"/>
    <w:uiPriority w:val="34"/>
    <w:locked/>
    <w:rsid w:val="008F27AD"/>
    <w:rPr>
      <w:rFonts w:ascii="Times New Roman" w:eastAsia="Times New Roman" w:hAnsi="Times New Roman" w:cs="Times New Roman"/>
    </w:rPr>
  </w:style>
  <w:style w:type="paragraph" w:styleId="a4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3"/>
    <w:uiPriority w:val="34"/>
    <w:qFormat/>
    <w:rsid w:val="008F27AD"/>
    <w:pPr>
      <w:ind w:left="720"/>
      <w:contextualSpacing/>
    </w:pPr>
    <w:rPr>
      <w:rFonts w:ascii="Times New Roman" w:eastAsia="Times New Roman" w:hAnsi="Times New Roman" w:cs="Times New Roman"/>
    </w:rPr>
  </w:style>
  <w:style w:type="table" w:customStyle="1" w:styleId="-411">
    <w:name w:val="Таблица-сетка 4 — акцент 11"/>
    <w:basedOn w:val="a1"/>
    <w:uiPriority w:val="49"/>
    <w:rsid w:val="008F27A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Итоговый рейтинг организаций социального обслуживания Калининградской области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Лист1!$A$2:$A$37</c:f>
              <c:strCache>
                <c:ptCount val="36"/>
                <c:pt idx="0">
                  <c:v>Государственное бюджетное стационарное учреждение социального обслуживания Калининградской области «Дом социального ухода «Старшее поколение»</c:v>
                </c:pt>
                <c:pt idx="1">
                  <c:v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c:v>
                </c:pt>
                <c:pt idx="2">
                  <c:v>Государственное бюджетное стационарное учреждение социального обслуживания Калининградской области «Дом-интернат для престарелых и инвалидов «Сосновая усадьба»</c:v>
                </c:pt>
                <c:pt idx="3">
                  <c:v>Государственное бюджетное стационарное учреждение социального обслуживания Калининградской области «Социальный центр «Два поколения»</c:v>
                </c:pt>
                <c:pt idx="4">
                  <c:v>Государственное бюджетное стационарное учреждение социального обслуживания Калининградской области «Социальный центр «Тёплый дом»</c:v>
                </c:pt>
                <c:pt idx="5">
                  <c:v>Государственное бюджетное учреждение социального обслуживания Калининградской области «Центр социальной адаптации для лиц без определенного места жительства и занятий»</c:v>
                </c:pt>
                <c:pt idx="6">
                  <c:v>Государственное бюджетное стационарное учреждение социального обслуживания Калининградской области «Советский дом-интернат для престарелых и инвалидов»</c:v>
                </c:pt>
                <c:pt idx="7">
                  <c:v>МАУСО города Калининграда «Комплексный центр социального обслуживания населения в городе Калининграде»</c:v>
                </c:pt>
                <c:pt idx="8">
                  <c:v>Государственное бюджетное стационарное учреждение социального обслуживания Калининградской области «Детский дом-интернат для умственно отсталых детей «Маленькая страна»</c:v>
                </c:pt>
                <c:pt idx="9">
                  <c:v>МБУ «Комплексный центр социального обслуживания населения Правдинского городского округа »</c:v>
                </c:pt>
                <c:pt idx="10">
                  <c:v>МБУ «Комплексный центр социального обслуживания населения в Зеленоградском городском округе»</c:v>
                </c:pt>
                <c:pt idx="11">
                  <c:v>МБУСО «Нестеровский комплексный центр социального обслуживания населения»</c:v>
                </c:pt>
                <c:pt idx="12">
                  <c:v>БУСО «Комплексный центр в Янтарном»</c:v>
                </c:pt>
                <c:pt idx="13">
                  <c:v>Государственное бюджетное стационарное учреждение социального обслуживания Калининградской области «Дом социального ухода «Солнечный ветер»</c:v>
                </c:pt>
                <c:pt idx="14">
                  <c:v>МБУСО « Озерский Комплексный центр социального обслуживания населения»</c:v>
                </c:pt>
                <c:pt idx="15">
                  <c:v>МБУСО «Центр социального обслуживания пожилых людей и инвалидов «Гармония»»</c:v>
                </c:pt>
                <c:pt idx="16">
                  <c:v>МБУ «Комплексный центр социального обслуживания в Гусевском городском округе»</c:v>
                </c:pt>
                <c:pt idx="17">
                  <c:v>Государственное бюджетное стационарное учреждение социального обслуживания Калининградской области «Дом социального ухода «Дубрава»</c:v>
                </c:pt>
                <c:pt idx="18">
                  <c:v>Государственное бюджетное стационарное учреждение социального обслуживания Калининградской области «Дом социального ухода «Яблоневый сад»</c:v>
                </c:pt>
                <c:pt idx="19">
                  <c:v>Государственное бюджетное стационарное учреждение социального обслуживания Калининградской области «Дом социального ухода «Веста»</c:v>
                </c:pt>
                <c:pt idx="20">
                  <c:v>МБУ «Гурьевский комплексный центр социального обслуживания населения»</c:v>
                </c:pt>
                <c:pt idx="21">
                  <c:v>Государственное бюджетное стационарное учреждение социального обслуживания Калининградской области «Дом социального ухода «Серебряный родник»</c:v>
                </c:pt>
                <c:pt idx="22">
                  <c:v>МБУ МО «Гвардейский городской округ» «Комплексный центр социального обслуживания населения в Гвардейском городском округе»</c:v>
                </c:pt>
                <c:pt idx="23">
                  <c:v>МБУСО «Пионерский комплексный центр социального обслуживания населения»</c:v>
                </c:pt>
                <c:pt idx="24">
                  <c:v>Государственное бюджетное стационарное учреждение социального обслуживания Калининградской области «Долгоруковский специальный дом-интернат для престарелых и инвалидов»</c:v>
                </c:pt>
                <c:pt idx="25">
                  <c:v>МБУ «Комплексный центр социального обслуживания населения в Неманском муниципальном районе»</c:v>
                </c:pt>
                <c:pt idx="26">
                  <c:v>МБУ «Комплексный центр социального обслуживания населения в Светлогорском районе»</c:v>
                </c:pt>
                <c:pt idx="27">
                  <c:v>МБУ « Комплексный центр социального обслуживания населения в Краснознаменском городском округе»</c:v>
                </c:pt>
                <c:pt idx="28">
                  <c:v>МБУСО «Центр социального обслуживания населения в Мамоновском городском округе»</c:v>
                </c:pt>
                <c:pt idx="29">
                  <c:v>МБУ «Комплексный центр социального обслуживания населения города Ладушкин »</c:v>
                </c:pt>
                <c:pt idx="30">
                  <c:v>МБУСО «Комплексный центр социального обслуживания в Светловском городском округе»</c:v>
                </c:pt>
                <c:pt idx="31">
                  <c:v>МБУ «Центр социального обслуживания населения Славского городского округа»</c:v>
                </c:pt>
                <c:pt idx="32">
                  <c:v>МБУСО «Советский Комплексный центр социального обслуживания населения «Вита»</c:v>
                </c:pt>
                <c:pt idx="33">
                  <c:v>МБУСО «Черняховский комплексный центр социального обслуживания населения»</c:v>
                </c:pt>
                <c:pt idx="34">
                  <c:v>МБУ «Полесский комплексный центр социального обслуживания населения»</c:v>
                </c:pt>
                <c:pt idx="35">
                  <c:v>МБУ «Багратионовский комплексный центр социального обслуживания населения»</c:v>
                </c:pt>
              </c:strCache>
            </c:strRef>
          </c:cat>
          <c:val>
            <c:numRef>
              <c:f>Лист1!$B$2:$B$37</c:f>
              <c:numCache>
                <c:formatCode>General</c:formatCode>
                <c:ptCount val="3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99.34</c:v>
                </c:pt>
                <c:pt idx="7">
                  <c:v>99.22</c:v>
                </c:pt>
                <c:pt idx="8">
                  <c:v>99.1</c:v>
                </c:pt>
                <c:pt idx="9">
                  <c:v>98.8</c:v>
                </c:pt>
                <c:pt idx="10">
                  <c:v>98.5</c:v>
                </c:pt>
                <c:pt idx="11">
                  <c:v>98.5</c:v>
                </c:pt>
                <c:pt idx="12">
                  <c:v>98.5</c:v>
                </c:pt>
                <c:pt idx="13">
                  <c:v>98.47999999999999</c:v>
                </c:pt>
                <c:pt idx="14">
                  <c:v>98.26</c:v>
                </c:pt>
                <c:pt idx="15">
                  <c:v>98.2</c:v>
                </c:pt>
                <c:pt idx="16">
                  <c:v>98.039999999999992</c:v>
                </c:pt>
                <c:pt idx="17">
                  <c:v>98.02000000000001</c:v>
                </c:pt>
                <c:pt idx="18">
                  <c:v>97.97999999999999</c:v>
                </c:pt>
                <c:pt idx="19">
                  <c:v>97.86</c:v>
                </c:pt>
                <c:pt idx="20">
                  <c:v>97.86</c:v>
                </c:pt>
                <c:pt idx="21">
                  <c:v>97.640000000000015</c:v>
                </c:pt>
                <c:pt idx="22">
                  <c:v>97.6</c:v>
                </c:pt>
                <c:pt idx="23">
                  <c:v>97.2</c:v>
                </c:pt>
                <c:pt idx="24">
                  <c:v>97</c:v>
                </c:pt>
                <c:pt idx="25">
                  <c:v>97</c:v>
                </c:pt>
                <c:pt idx="26">
                  <c:v>96.9</c:v>
                </c:pt>
                <c:pt idx="27">
                  <c:v>96.42</c:v>
                </c:pt>
                <c:pt idx="28">
                  <c:v>96.179999999999978</c:v>
                </c:pt>
                <c:pt idx="29">
                  <c:v>95.97999999999999</c:v>
                </c:pt>
                <c:pt idx="30">
                  <c:v>95.97999999999999</c:v>
                </c:pt>
                <c:pt idx="31">
                  <c:v>95.6</c:v>
                </c:pt>
                <c:pt idx="32">
                  <c:v>95.38</c:v>
                </c:pt>
                <c:pt idx="33">
                  <c:v>94.97999999999999</c:v>
                </c:pt>
                <c:pt idx="34">
                  <c:v>92.82</c:v>
                </c:pt>
                <c:pt idx="35">
                  <c:v>90.78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C7-6941-B038-EA1F2C22479E}"/>
            </c:ext>
          </c:extLst>
        </c:ser>
        <c:dLbls>
          <c:showVal val="1"/>
        </c:dLbls>
        <c:gapWidth val="65"/>
        <c:axId val="165266176"/>
        <c:axId val="165267712"/>
      </c:barChart>
      <c:catAx>
        <c:axId val="16526617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267712"/>
        <c:crosses val="autoZero"/>
        <c:auto val="1"/>
        <c:lblAlgn val="ctr"/>
        <c:lblOffset val="100"/>
      </c:catAx>
      <c:valAx>
        <c:axId val="165267712"/>
        <c:scaling>
          <c:orientation val="minMax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26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2022-10-18T10:18:00Z</dcterms:created>
  <dcterms:modified xsi:type="dcterms:W3CDTF">2022-10-18T10:20:00Z</dcterms:modified>
</cp:coreProperties>
</file>